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565"/>
        <w:gridCol w:w="2848"/>
        <w:gridCol w:w="2294"/>
      </w:tblGrid>
      <w:tr w:rsidR="00D77CD7" w:rsidRPr="00413467" w:rsidTr="00A84193">
        <w:trPr>
          <w:cantSplit/>
          <w:tblHeader/>
        </w:trPr>
        <w:tc>
          <w:tcPr>
            <w:tcW w:w="239" w:type="pct"/>
            <w:shd w:val="clear" w:color="auto" w:fill="D9D9D9" w:themeFill="background1" w:themeFillShade="D9"/>
          </w:tcPr>
          <w:p w:rsidR="00D77CD7" w:rsidRDefault="00D77CD7" w:rsidP="00A84193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239" w:type="pct"/>
            <w:shd w:val="clear" w:color="auto" w:fill="D9D9D9" w:themeFill="background1" w:themeFillShade="D9"/>
          </w:tcPr>
          <w:p w:rsidR="00D77CD7" w:rsidRDefault="00D77CD7" w:rsidP="00A84193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>Де</w:t>
            </w:r>
            <w:bookmarkStart w:id="0" w:name="_GoBack"/>
            <w:bookmarkEnd w:id="0"/>
            <w:r w:rsidRPr="00413467">
              <w:rPr>
                <w:b/>
              </w:rPr>
              <w:t>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397" w:type="pct"/>
            <w:shd w:val="clear" w:color="auto" w:fill="D9D9D9" w:themeFill="background1" w:themeFillShade="D9"/>
          </w:tcPr>
          <w:p w:rsidR="00D77CD7" w:rsidRDefault="00D77CD7" w:rsidP="00A84193">
            <w:pPr>
              <w:widowControl w:val="0"/>
              <w:spacing w:before="120"/>
              <w:rPr>
                <w:b/>
              </w:rPr>
            </w:pPr>
            <w:r w:rsidRPr="00413467">
              <w:rPr>
                <w:b/>
              </w:rPr>
              <w:t>Действия обучающихся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:rsidR="00D77CD7" w:rsidRDefault="00D77CD7" w:rsidP="00A84193">
            <w:pPr>
              <w:widowControl w:val="0"/>
              <w:spacing w:before="120"/>
              <w:rPr>
                <w:b/>
              </w:rPr>
            </w:pPr>
            <w:r>
              <w:rPr>
                <w:b/>
              </w:rPr>
              <w:t>Приблизительное в</w:t>
            </w:r>
            <w:r w:rsidRPr="00413467">
              <w:rPr>
                <w:b/>
              </w:rPr>
              <w:t>ремя</w:t>
            </w: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636" w:type="pct"/>
            <w:gridSpan w:val="2"/>
          </w:tcPr>
          <w:p w:rsidR="00D77CD7" w:rsidRPr="0091596C" w:rsidRDefault="00D77CD7" w:rsidP="00A84193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125" w:type="pct"/>
            <w:vAlign w:val="center"/>
          </w:tcPr>
          <w:p w:rsidR="00D77CD7" w:rsidRPr="0091596C" w:rsidRDefault="00D77CD7" w:rsidP="00A84193">
            <w:pPr>
              <w:widowControl w:val="0"/>
              <w:spacing w:after="0"/>
              <w:jc w:val="left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D77CD7" w:rsidRPr="00F8645C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pct"/>
          </w:tcPr>
          <w:p w:rsidR="00D77CD7" w:rsidRPr="0091596C" w:rsidRDefault="00D77CD7" w:rsidP="00A84193">
            <w:pPr>
              <w:widowControl w:val="0"/>
              <w:spacing w:after="0"/>
            </w:pPr>
            <w:r>
              <w:t xml:space="preserve">Приветствие ученика. Знакомство. </w:t>
            </w:r>
            <w:r w:rsidRPr="0091596C">
              <w:t xml:space="preserve">Короткий рассказ о содержании </w:t>
            </w:r>
            <w:r>
              <w:t>итогового собеседования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D77CD7" w:rsidRPr="0091596C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D77CD7" w:rsidRPr="002260FB" w:rsidTr="00A84193">
        <w:trPr>
          <w:cantSplit/>
        </w:trPr>
        <w:tc>
          <w:tcPr>
            <w:tcW w:w="5000" w:type="pct"/>
            <w:gridSpan w:val="4"/>
          </w:tcPr>
          <w:p w:rsidR="00D77CD7" w:rsidRPr="0091596C" w:rsidRDefault="00D77CD7" w:rsidP="00A84193">
            <w:pPr>
              <w:widowControl w:val="0"/>
              <w:tabs>
                <w:tab w:val="left" w:pos="3690"/>
              </w:tabs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ЧТЕНИЕ ТЕКСТА</w:t>
            </w: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pct"/>
          </w:tcPr>
          <w:p w:rsidR="00D77CD7" w:rsidRDefault="00D77CD7" w:rsidP="00A84193">
            <w:pPr>
              <w:widowControl w:val="0"/>
              <w:spacing w:after="0"/>
            </w:pPr>
            <w:r w:rsidRPr="0091596C">
              <w:t xml:space="preserve">Предложить </w:t>
            </w:r>
            <w:r>
              <w:t>обучающемуся</w:t>
            </w:r>
            <w:r w:rsidRPr="0091596C">
              <w:t xml:space="preserve"> 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  <w:r>
              <w:t>.</w:t>
            </w:r>
          </w:p>
          <w:p w:rsidR="00D77CD7" w:rsidRPr="0091596C" w:rsidRDefault="00D77CD7" w:rsidP="00A84193">
            <w:pPr>
              <w:widowControl w:val="0"/>
              <w:spacing w:after="0"/>
              <w:rPr>
                <w:b/>
              </w:rPr>
            </w:pPr>
            <w:r>
              <w:t>Обратить внимание на то, что ученик будет работать с этим текстом, выполняя задания 1 и 2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125" w:type="pct"/>
          </w:tcPr>
          <w:p w:rsidR="00D77CD7" w:rsidRPr="0091596C" w:rsidRDefault="00D77CD7" w:rsidP="00A84193">
            <w:pPr>
              <w:widowControl w:val="0"/>
              <w:spacing w:after="0"/>
              <w:rPr>
                <w:b/>
              </w:rPr>
            </w:pP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pct"/>
          </w:tcPr>
          <w:p w:rsidR="00D77CD7" w:rsidRPr="0091596C" w:rsidRDefault="00D77CD7" w:rsidP="00A84193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>
              <w:t>Подготовка к чтению вслух</w:t>
            </w:r>
          </w:p>
          <w:p w:rsidR="00D77CD7" w:rsidRPr="0091596C" w:rsidRDefault="00D77CD7" w:rsidP="00A84193">
            <w:pPr>
              <w:spacing w:after="0"/>
            </w:pPr>
            <w:r w:rsidRPr="0091596C">
              <w:t>Чтение текста про себя</w:t>
            </w:r>
          </w:p>
        </w:tc>
        <w:tc>
          <w:tcPr>
            <w:tcW w:w="1125" w:type="pct"/>
          </w:tcPr>
          <w:p w:rsidR="00D77CD7" w:rsidRPr="0091596C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мин.</w:t>
            </w: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9" w:type="pct"/>
          </w:tcPr>
          <w:p w:rsidR="00D77CD7" w:rsidRPr="0091596C" w:rsidRDefault="00D77CD7" w:rsidP="00A84193">
            <w:pPr>
              <w:rPr>
                <w:i/>
              </w:rPr>
            </w:pPr>
            <w:r w:rsidRPr="0091596C">
              <w:t>Слушание текста</w:t>
            </w:r>
            <w:r w:rsidRPr="0091596C">
              <w:rPr>
                <w:i/>
              </w:rPr>
              <w:t xml:space="preserve"> Эмоциональная реакция на чтение ученика.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 w:rsidRPr="0091596C">
              <w:t>Чтение текста вслух</w:t>
            </w:r>
          </w:p>
        </w:tc>
        <w:tc>
          <w:tcPr>
            <w:tcW w:w="1125" w:type="pct"/>
          </w:tcPr>
          <w:p w:rsidR="00D77CD7" w:rsidRPr="0091596C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2 мин</w:t>
            </w:r>
            <w:r>
              <w:rPr>
                <w:b/>
              </w:rPr>
              <w:t>.</w:t>
            </w: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9" w:type="pct"/>
          </w:tcPr>
          <w:p w:rsidR="00D77CD7" w:rsidRPr="0091596C" w:rsidRDefault="00D77CD7" w:rsidP="00A84193">
            <w:r>
              <w:t>Переключение ученика на другой вид работы. Объяснить, что ученик имеет право пользоваться дополнительной информацией, необходимой для выполнения задания 2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 w:rsidRPr="0091596C">
              <w:t>Подготовка к пересказу</w:t>
            </w:r>
            <w:r>
              <w:t xml:space="preserve"> с привлечением дополнительной информации</w:t>
            </w: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до 2</w:t>
            </w:r>
            <w:r w:rsidRPr="0091596C">
              <w:rPr>
                <w:b/>
              </w:rPr>
              <w:t xml:space="preserve"> мин</w:t>
            </w:r>
            <w:r>
              <w:rPr>
                <w:b/>
              </w:rPr>
              <w:t>.</w:t>
            </w:r>
          </w:p>
        </w:tc>
      </w:tr>
      <w:tr w:rsidR="00D77CD7" w:rsidRPr="0041346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  <w:r>
              <w:t xml:space="preserve">Забрать у ученика исходный текст. Слушание пересказа. </w:t>
            </w:r>
            <w:r w:rsidRPr="001058BE">
              <w:rPr>
                <w:i/>
              </w:rPr>
              <w:t>Эмоциональная реакция на пересказ ученика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>
              <w:t>Пересказ текста с привлечением дополнительной информации</w:t>
            </w: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до 3 мин.</w:t>
            </w: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  <w:r>
              <w:t>Забрать у ученика материалы, необходимые для выполнения задания 1 и 2. Объяснить, что задания 3 и 4 связаны тематически и не имеют отношения к тексту, с которым работал ученик при выполнении заданий 1 и 2. Предложить обучающемуся выбрать вариант темы беседы и выдать ему соответствующую карточку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</w:p>
        </w:tc>
      </w:tr>
      <w:tr w:rsidR="00D77CD7" w:rsidRPr="00972317" w:rsidTr="00A84193">
        <w:trPr>
          <w:cantSplit/>
        </w:trPr>
        <w:tc>
          <w:tcPr>
            <w:tcW w:w="5000" w:type="pct"/>
            <w:gridSpan w:val="4"/>
          </w:tcPr>
          <w:p w:rsidR="00D77CD7" w:rsidRDefault="00D77CD7" w:rsidP="00A84193">
            <w:pPr>
              <w:spacing w:after="0"/>
              <w:jc w:val="center"/>
              <w:rPr>
                <w:b/>
              </w:rPr>
            </w:pPr>
            <w:r w:rsidRPr="0091596C">
              <w:rPr>
                <w:b/>
              </w:rPr>
              <w:t>МОНОЛОГ</w:t>
            </w: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  <w:r>
              <w:t>Предложить ученику ознакомиться с темой монолога.</w:t>
            </w:r>
          </w:p>
          <w:p w:rsidR="00D77CD7" w:rsidRDefault="00D77CD7" w:rsidP="00A84193">
            <w:pPr>
              <w:spacing w:after="0"/>
            </w:pPr>
            <w: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 w:rsidRPr="0091596C">
              <w:t>Подготовка к ответу</w:t>
            </w:r>
          </w:p>
        </w:tc>
        <w:tc>
          <w:tcPr>
            <w:tcW w:w="1125" w:type="pct"/>
          </w:tcPr>
          <w:p w:rsidR="00D77CD7" w:rsidRPr="0091596C" w:rsidRDefault="00D77CD7" w:rsidP="00A84193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9" w:type="pct"/>
          </w:tcPr>
          <w:p w:rsidR="00D77CD7" w:rsidRPr="0091596C" w:rsidRDefault="00D77CD7" w:rsidP="00A84193">
            <w:pPr>
              <w:spacing w:after="0"/>
            </w:pPr>
            <w:r w:rsidRPr="0091596C">
              <w:t xml:space="preserve">Слушать устный ответ. </w:t>
            </w:r>
          </w:p>
          <w:p w:rsidR="00D77CD7" w:rsidRPr="0091596C" w:rsidRDefault="00D77CD7" w:rsidP="00A84193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</w:t>
            </w:r>
            <w:r>
              <w:rPr>
                <w:i/>
              </w:rPr>
              <w:t>ответ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 w:rsidRPr="0091596C">
              <w:t xml:space="preserve">Ответ по </w:t>
            </w:r>
            <w:r>
              <w:t xml:space="preserve">теме </w:t>
            </w:r>
            <w:r w:rsidRPr="0091596C">
              <w:t>выбранного варианта</w:t>
            </w:r>
          </w:p>
        </w:tc>
        <w:tc>
          <w:tcPr>
            <w:tcW w:w="1125" w:type="pct"/>
          </w:tcPr>
          <w:p w:rsidR="00D77CD7" w:rsidRPr="0091596C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91596C">
              <w:rPr>
                <w:b/>
              </w:rPr>
              <w:t>3 мин.</w:t>
            </w:r>
          </w:p>
        </w:tc>
      </w:tr>
      <w:tr w:rsidR="00D77CD7" w:rsidRPr="00972317" w:rsidTr="00A84193">
        <w:trPr>
          <w:cantSplit/>
        </w:trPr>
        <w:tc>
          <w:tcPr>
            <w:tcW w:w="5000" w:type="pct"/>
            <w:gridSpan w:val="4"/>
          </w:tcPr>
          <w:p w:rsidR="00D77CD7" w:rsidRDefault="00D77CD7" w:rsidP="00A841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ДИАЛОГ</w:t>
            </w: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  <w:r>
              <w:t>Задать вопросы для диалога. Экзаменатор-собеседник может задать вопросы, отличающиеся от предложенных в экзаменационных материалах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  <w:r>
              <w:t>Вступает в диалог</w:t>
            </w: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до 3 мин.</w:t>
            </w:r>
          </w:p>
        </w:tc>
      </w:tr>
      <w:tr w:rsidR="00D77CD7" w:rsidRPr="00972317" w:rsidTr="00A84193">
        <w:trPr>
          <w:cantSplit/>
        </w:trPr>
        <w:tc>
          <w:tcPr>
            <w:tcW w:w="239" w:type="pct"/>
          </w:tcPr>
          <w:p w:rsidR="00D77CD7" w:rsidRDefault="00D77CD7" w:rsidP="00A84193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39" w:type="pct"/>
          </w:tcPr>
          <w:p w:rsidR="00D77CD7" w:rsidRDefault="00D77CD7" w:rsidP="00A84193">
            <w:pPr>
              <w:spacing w:after="0"/>
            </w:pPr>
            <w:r w:rsidRPr="00413467">
              <w:t xml:space="preserve">Эмоционально поддержать </w:t>
            </w:r>
            <w:r>
              <w:t>обучающегося</w:t>
            </w:r>
          </w:p>
        </w:tc>
        <w:tc>
          <w:tcPr>
            <w:tcW w:w="1397" w:type="pct"/>
          </w:tcPr>
          <w:p w:rsidR="00D77CD7" w:rsidRPr="0091596C" w:rsidRDefault="00D77CD7" w:rsidP="00A84193">
            <w:pPr>
              <w:spacing w:after="0"/>
            </w:pPr>
          </w:p>
        </w:tc>
        <w:tc>
          <w:tcPr>
            <w:tcW w:w="1125" w:type="pct"/>
          </w:tcPr>
          <w:p w:rsidR="00D77CD7" w:rsidRDefault="00D77CD7" w:rsidP="00A84193">
            <w:pPr>
              <w:spacing w:after="0"/>
              <w:rPr>
                <w:b/>
              </w:rPr>
            </w:pPr>
          </w:p>
        </w:tc>
      </w:tr>
    </w:tbl>
    <w:p w:rsidR="000C3110" w:rsidRDefault="000C3110"/>
    <w:sectPr w:rsidR="000C3110" w:rsidSect="00D77C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D7"/>
    <w:rsid w:val="000C3110"/>
    <w:rsid w:val="00D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A5F3-79E3-46C1-A41F-10F19274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D7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dc:description/>
  <cp:lastModifiedBy>Казанцева Д. А.</cp:lastModifiedBy>
  <cp:revision>1</cp:revision>
  <dcterms:created xsi:type="dcterms:W3CDTF">2019-11-13T15:05:00Z</dcterms:created>
  <dcterms:modified xsi:type="dcterms:W3CDTF">2019-11-13T15:07:00Z</dcterms:modified>
</cp:coreProperties>
</file>